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20"/>
      </w:pPr>
      <w:r>
        <w:rPr>
          <w:b/>
          <w:sz w:val="22"/>
          <w:szCs w:val="22"/>
          <w:color w:val="10161D"/>
        </w:rPr>
        <w:t xml:space="preserve">MARGINAL THINKING</w:t>
      </w:r>
    </w:p>
    <w:p>
      <w:pPr>
        <w:spacing w:before="0" w:after="300"/>
      </w:pPr>
      <w:r>
        <w:rPr>
          <w:sz w:val="14"/>
          <w:szCs w:val="14"/>
          <w:color w:val="5C6670"/>
        </w:rPr>
        <w:t xml:space="preserve">ECONOMIA · POLÍTICA · SOCIEDADE</w:t>
      </w:r>
    </w:p>
    <w:p>
      <w:pPr>
        <w:pStyle w:val="Title"/>
        <w:spacing w:before="0" w:after="160"/>
      </w:pPr>
      <w:r>
        <w:rPr>
          <w:sz w:val="38"/>
          <w:szCs w:val="38"/>
          <w:color w:val="10161D"/>
        </w:rPr>
        <w:t xml:space="preserve">Relatório Macro, Mercados e Risco Político Global</w:t>
      </w:r>
    </w:p>
    <w:p>
      <w:pPr>
        <w:spacing w:before="0" w:after="160"/>
      </w:pPr>
      <w:r>
        <w:rPr>
          <w:sz w:val="22"/>
          <w:szCs w:val="22"/>
          <w:color w:val="5C6670"/>
        </w:rPr>
        <w:t xml:space="preserve">Risk-off estagflacionário: petróleo, term premium, dólar forte e revisão do ciclo de IA.</w:t>
      </w:r>
    </w:p>
    <w:p>
      <w:pPr>
        <w:spacing w:before="0" w:after="260"/>
      </w:pPr>
      <w:r>
        <w:rPr>
          <w:b/>
          <w:sz w:val="17"/>
          <w:szCs w:val="17"/>
          <w:color w:val="11A8D8"/>
        </w:rPr>
        <w:t xml:space="preserve">MT-GM-2026-0914 · 14 setembro 2026</w:t>
      </w:r>
    </w:p>
    <w:tbl>
      <w:tblPr>
        <w:tblW w:w="0" w:type="auto"/>
        <w:tblBorders>
          <w:top w:val="single" w:sz="4" w:color="D8DDE2"/>
          <w:left w:val="single" w:sz="4" w:color="D8DDE2"/>
          <w:bottom w:val="single" w:sz="4" w:color="D8DDE2"/>
          <w:right w:val="single" w:sz="4" w:color="D8DDE2"/>
          <w:insideH w:val="single" w:sz="4" w:color="D8DDE2"/>
          <w:insideV w:val="single" w:sz="4" w:color="D8DDE2"/>
        </w:tblBorders>
      </w:tblPr>
      <w:tblGrid>
        <w:gridCol w:w="3000"/>
        <w:gridCol w:w="3000"/>
        <w:gridCol w:w="3000"/>
      </w:tblGrid>
      <w:tr>
        <w:tc>
          <w:tcPr>
            <w:tcW w:w="300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Regime</w:t>
            </w:r>
          </w:p>
        </w:tc>
        <w:tc>
          <w:tcPr>
            <w:tcW w:w="300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Risco-chave</w:t>
            </w:r>
          </w:p>
        </w:tc>
        <w:tc>
          <w:tcPr>
            <w:tcW w:w="300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Monitorar</w:t>
            </w:r>
          </w:p>
        </w:tc>
      </w:tr>
      <w:tr>
        <w:tc>
          <w:tcPr>
            <w:tcW w:w="30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Risk-off estagflacionário</w:t>
            </w:r>
          </w:p>
        </w:tc>
        <w:tc>
          <w:tcPr>
            <w:tcW w:w="30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Energia, frete e term premium</w:t>
            </w:r>
          </w:p>
        </w:tc>
        <w:tc>
          <w:tcPr>
            <w:tcW w:w="30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Brent · UST 10Y · DXY</w:t>
            </w:r>
          </w:p>
        </w:tc>
      </w:tr>
    </w:tbl>
    <w:p>
      <w:pPr>
        <w:spacing w:before="0" w:after="180"/>
      </w:pPr>
      <w:r>
        <w:rPr/>
        <w:t xml:space="preserve"/>
      </w:r>
    </w:p>
    <w:p>
      <w:pPr>
        <w:spacing w:before="0" w:after="150"/>
      </w:pPr>
      <w:r>
        <w:rPr>
          <w:sz w:val="18"/>
          <w:szCs w:val="18"/>
          <w:color w:val="5C6670"/>
        </w:rPr>
        <w:t xml:space="preserve">Briefing institucional cross-asset para decisão executiva. Conteúdo analítico e educacional; não constitui recomendação personalizada de investimento.</w:t>
      </w:r>
    </w:p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1. Regime de mercado e resumo executivo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O ambiente dominante é de aversão a risco com característica estagflacionária. Petróleo acima de US$100, Treasury de 10 anos em torno de 5%, dólar mais forte e pressão concentrada em tecnologia indicam um choque em que a proteção tradicional via duration soberana funciona pior. O mercado exige prêmio maior para carregar ativos longos porque energia, oferta de dívida e risco fiscal pressionam a mesma taxa de desconto.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A leitura central é que o choque não é apenas recessivo. Energia e logística aumentam inflação, enquanto juros mais altos comprimem múltiplos e encarecem financiamento. Isso produz correlação adversa entre ações e títulos longos.</w:t>
      </w:r>
    </w:p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2. O que mudou nas últimas 24 horas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O risco energético tornou-se mais físico com deterioração de rotas alternativas no Oriente Médio.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O Treasury de 10 anos rompeu aproximadamente 5%, elevando a taxa de desconto global.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A precificação do Fed tornou-se mais hawkish após inflação e energia mais fortes.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Semicondutores passaram a refletir risco específico de desaceleração ou postergação de capex em IA.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A China confirmou demanda privada de crédito muito fraca.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No Brasil, choque externo e eleição apertada voltaram a dominar o beta do real, bancos e curva longa.</w:t>
      </w:r>
    </w:p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3. Poder político e risco institucional</w:t>
      </w:r>
    </w:p>
    <w:p>
      <w:pPr>
        <w:spacing w:before="0" w:after="100"/>
      </w:pPr>
      <w:r>
        <w:rPr>
          <w:b/>
          <w:sz w:val="18"/>
          <w:szCs w:val="18"/>
          <w:color w:val="5C6670"/>
        </w:rPr>
        <w:t xml:space="preserve">Matriz qualitativa de risco político e institucional</w:t>
      </w:r>
    </w:p>
    <w:tbl>
      <w:tblPr>
        <w:tblW w:w="0" w:type="auto"/>
        <w:tblBorders>
          <w:top w:val="single" w:sz="4" w:color="D8DDE2"/>
          <w:left w:val="single" w:sz="4" w:color="D8DDE2"/>
          <w:bottom w:val="single" w:sz="4" w:color="D8DDE2"/>
          <w:right w:val="single" w:sz="4" w:color="D8DDE2"/>
          <w:insideH w:val="single" w:sz="4" w:color="D8DDE2"/>
          <w:insideV w:val="single" w:sz="4" w:color="D8DDE2"/>
        </w:tblBorders>
      </w:tblPr>
      <w:tblGrid>
        <w:gridCol w:w="2100"/>
        <w:gridCol w:w="1150"/>
        <w:gridCol w:w="900"/>
        <w:gridCol w:w="1250"/>
        <w:gridCol w:w="1250"/>
        <w:gridCol w:w="1400"/>
      </w:tblGrid>
      <w:tr>
        <w:tc>
          <w:tcPr>
            <w:tcW w:w="210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Região</w:t>
            </w:r>
          </w:p>
        </w:tc>
        <w:tc>
          <w:tcPr>
            <w:tcW w:w="115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Inst./coalizão</w:t>
            </w:r>
          </w:p>
        </w:tc>
        <w:tc>
          <w:tcPr>
            <w:tcW w:w="90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Fiscal</w:t>
            </w:r>
          </w:p>
        </w:tc>
        <w:tc>
          <w:tcPr>
            <w:tcW w:w="125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Segurança ext.</w:t>
            </w:r>
          </w:p>
        </w:tc>
        <w:tc>
          <w:tcPr>
            <w:tcW w:w="125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Reversão política</w:t>
            </w:r>
          </w:p>
        </w:tc>
        <w:tc>
          <w:tcPr>
            <w:tcW w:w="140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Transmissão p/ mercados</w:t>
            </w:r>
          </w:p>
        </w:tc>
      </w:tr>
      <w:tr>
        <w:tc>
          <w:tcPr>
            <w:tcW w:w="21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Estados Unidos</w:t>
            </w:r>
          </w:p>
        </w:tc>
        <w:tc>
          <w:tcPr>
            <w:tcW w:w="1150" w:type="dxa"/>
            <w:shd w:fill="45C7EC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4</w:t>
            </w:r>
          </w:p>
        </w:tc>
        <w:tc>
          <w:tcPr>
            <w:tcW w:w="900" w:type="dxa"/>
            <w:shd w:fill="12222E"/>
          </w:tcPr>
          <w:p>
            <w:pPr>
              <w:spacing w:before="0" w:after="100"/>
            </w:pPr>
            <w:r>
              <w:rPr>
                <w:sz w:val="17"/>
                <w:szCs w:val="17"/>
                <w:color w:val="FFFFFF"/>
              </w:rPr>
              <w:t xml:space="preserve">5</w:t>
            </w:r>
          </w:p>
        </w:tc>
        <w:tc>
          <w:tcPr>
            <w:tcW w:w="1250" w:type="dxa"/>
            <w:shd w:fill="9BDFF3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3</w:t>
            </w:r>
          </w:p>
        </w:tc>
        <w:tc>
          <w:tcPr>
            <w:tcW w:w="1250" w:type="dxa"/>
            <w:shd w:fill="45C7EC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4</w:t>
            </w:r>
          </w:p>
        </w:tc>
        <w:tc>
          <w:tcPr>
            <w:tcW w:w="1400" w:type="dxa"/>
            <w:shd w:fill="12222E"/>
          </w:tcPr>
          <w:p>
            <w:pPr>
              <w:spacing w:before="0" w:after="100"/>
            </w:pPr>
            <w:r>
              <w:rPr>
                <w:sz w:val="17"/>
                <w:szCs w:val="17"/>
                <w:color w:val="FFFFFF"/>
              </w:rPr>
              <w:t xml:space="preserve">5</w:t>
            </w:r>
          </w:p>
        </w:tc>
      </w:tr>
      <w:tr>
        <w:tc>
          <w:tcPr>
            <w:tcW w:w="21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Brasil</w:t>
            </w:r>
          </w:p>
        </w:tc>
        <w:tc>
          <w:tcPr>
            <w:tcW w:w="1150" w:type="dxa"/>
            <w:shd w:fill="45C7EC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4</w:t>
            </w:r>
          </w:p>
        </w:tc>
        <w:tc>
          <w:tcPr>
            <w:tcW w:w="900" w:type="dxa"/>
            <w:shd w:fill="45C7EC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4</w:t>
            </w:r>
          </w:p>
        </w:tc>
        <w:tc>
          <w:tcPr>
            <w:tcW w:w="1250" w:type="dxa"/>
            <w:shd w:fill="EEF4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1</w:t>
            </w:r>
          </w:p>
        </w:tc>
        <w:tc>
          <w:tcPr>
            <w:tcW w:w="1250" w:type="dxa"/>
            <w:shd w:fill="45C7EC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4</w:t>
            </w:r>
          </w:p>
        </w:tc>
        <w:tc>
          <w:tcPr>
            <w:tcW w:w="1400" w:type="dxa"/>
            <w:shd w:fill="12222E"/>
          </w:tcPr>
          <w:p>
            <w:pPr>
              <w:spacing w:before="0" w:after="100"/>
            </w:pPr>
            <w:r>
              <w:rPr>
                <w:sz w:val="17"/>
                <w:szCs w:val="17"/>
                <w:color w:val="FFFFFF"/>
              </w:rPr>
              <w:t xml:space="preserve">5</w:t>
            </w:r>
          </w:p>
        </w:tc>
      </w:tr>
      <w:tr>
        <w:tc>
          <w:tcPr>
            <w:tcW w:w="21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Europa/Alemanha</w:t>
            </w:r>
          </w:p>
        </w:tc>
        <w:tc>
          <w:tcPr>
            <w:tcW w:w="1150" w:type="dxa"/>
            <w:shd w:fill="45C7EC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4</w:t>
            </w:r>
          </w:p>
        </w:tc>
        <w:tc>
          <w:tcPr>
            <w:tcW w:w="900" w:type="dxa"/>
            <w:shd w:fill="9BDFF3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3</w:t>
            </w:r>
          </w:p>
        </w:tc>
        <w:tc>
          <w:tcPr>
            <w:tcW w:w="1250" w:type="dxa"/>
            <w:shd w:fill="45C7EC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4</w:t>
            </w:r>
          </w:p>
        </w:tc>
        <w:tc>
          <w:tcPr>
            <w:tcW w:w="1250" w:type="dxa"/>
            <w:shd w:fill="9BDFF3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3</w:t>
            </w:r>
          </w:p>
        </w:tc>
        <w:tc>
          <w:tcPr>
            <w:tcW w:w="1400" w:type="dxa"/>
            <w:shd w:fill="45C7EC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4</w:t>
            </w:r>
          </w:p>
        </w:tc>
      </w:tr>
      <w:tr>
        <w:tc>
          <w:tcPr>
            <w:tcW w:w="21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China</w:t>
            </w:r>
          </w:p>
        </w:tc>
        <w:tc>
          <w:tcPr>
            <w:tcW w:w="1150" w:type="dxa"/>
            <w:shd w:fill="9BDFF3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3</w:t>
            </w:r>
          </w:p>
        </w:tc>
        <w:tc>
          <w:tcPr>
            <w:tcW w:w="900" w:type="dxa"/>
            <w:shd w:fill="45C7EC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4</w:t>
            </w:r>
          </w:p>
        </w:tc>
        <w:tc>
          <w:tcPr>
            <w:tcW w:w="1250" w:type="dxa"/>
            <w:shd w:fill="9BDFF3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3</w:t>
            </w:r>
          </w:p>
        </w:tc>
        <w:tc>
          <w:tcPr>
            <w:tcW w:w="1250" w:type="dxa"/>
            <w:shd w:fill="D9EF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2</w:t>
            </w:r>
          </w:p>
        </w:tc>
        <w:tc>
          <w:tcPr>
            <w:tcW w:w="1400" w:type="dxa"/>
            <w:shd w:fill="12222E"/>
          </w:tcPr>
          <w:p>
            <w:pPr>
              <w:spacing w:before="0" w:after="100"/>
            </w:pPr>
            <w:r>
              <w:rPr>
                <w:sz w:val="17"/>
                <w:szCs w:val="17"/>
                <w:color w:val="FFFFFF"/>
              </w:rPr>
              <w:t xml:space="preserve">5</w:t>
            </w:r>
          </w:p>
        </w:tc>
      </w:tr>
      <w:tr>
        <w:tc>
          <w:tcPr>
            <w:tcW w:w="21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Japão</w:t>
            </w:r>
          </w:p>
        </w:tc>
        <w:tc>
          <w:tcPr>
            <w:tcW w:w="1150" w:type="dxa"/>
            <w:shd w:fill="EEF4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1</w:t>
            </w:r>
          </w:p>
        </w:tc>
        <w:tc>
          <w:tcPr>
            <w:tcW w:w="900" w:type="dxa"/>
            <w:shd w:fill="45C7EC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4</w:t>
            </w:r>
          </w:p>
        </w:tc>
        <w:tc>
          <w:tcPr>
            <w:tcW w:w="1250" w:type="dxa"/>
            <w:shd w:fill="9BDFF3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3</w:t>
            </w:r>
          </w:p>
        </w:tc>
        <w:tc>
          <w:tcPr>
            <w:tcW w:w="1250" w:type="dxa"/>
            <w:shd w:fill="D9EF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2</w:t>
            </w:r>
          </w:p>
        </w:tc>
        <w:tc>
          <w:tcPr>
            <w:tcW w:w="1400" w:type="dxa"/>
            <w:shd w:fill="45C7EC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4</w:t>
            </w:r>
          </w:p>
        </w:tc>
      </w:tr>
      <w:tr>
        <w:tc>
          <w:tcPr>
            <w:tcW w:w="21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Oriente Médio</w:t>
            </w:r>
          </w:p>
        </w:tc>
        <w:tc>
          <w:tcPr>
            <w:tcW w:w="1150" w:type="dxa"/>
            <w:shd w:fill="12222E"/>
          </w:tcPr>
          <w:p>
            <w:pPr>
              <w:spacing w:before="0" w:after="100"/>
            </w:pPr>
            <w:r>
              <w:rPr>
                <w:sz w:val="17"/>
                <w:szCs w:val="17"/>
                <w:color w:val="FFFFFF"/>
              </w:rPr>
              <w:t xml:space="preserve">5</w:t>
            </w:r>
          </w:p>
        </w:tc>
        <w:tc>
          <w:tcPr>
            <w:tcW w:w="900" w:type="dxa"/>
            <w:shd w:fill="9BDFF3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3</w:t>
            </w:r>
          </w:p>
        </w:tc>
        <w:tc>
          <w:tcPr>
            <w:tcW w:w="1250" w:type="dxa"/>
            <w:shd w:fill="12222E"/>
          </w:tcPr>
          <w:p>
            <w:pPr>
              <w:spacing w:before="0" w:after="100"/>
            </w:pPr>
            <w:r>
              <w:rPr>
                <w:sz w:val="17"/>
                <w:szCs w:val="17"/>
                <w:color w:val="FFFFFF"/>
              </w:rPr>
              <w:t xml:space="preserve">5</w:t>
            </w:r>
          </w:p>
        </w:tc>
        <w:tc>
          <w:tcPr>
            <w:tcW w:w="1250" w:type="dxa"/>
            <w:shd w:fill="12222E"/>
          </w:tcPr>
          <w:p>
            <w:pPr>
              <w:spacing w:before="0" w:after="100"/>
            </w:pPr>
            <w:r>
              <w:rPr>
                <w:sz w:val="17"/>
                <w:szCs w:val="17"/>
                <w:color w:val="FFFFFF"/>
              </w:rPr>
              <w:t xml:space="preserve">5</w:t>
            </w:r>
          </w:p>
        </w:tc>
        <w:tc>
          <w:tcPr>
            <w:tcW w:w="1400" w:type="dxa"/>
            <w:shd w:fill="12222E"/>
          </w:tcPr>
          <w:p>
            <w:pPr>
              <w:spacing w:before="0" w:after="100"/>
            </w:pPr>
            <w:r>
              <w:rPr>
                <w:sz w:val="17"/>
                <w:szCs w:val="17"/>
                <w:color w:val="FFFFFF"/>
              </w:rPr>
              <w:t xml:space="preserve">5</w:t>
            </w:r>
          </w:p>
        </w:tc>
      </w:tr>
      <w:tr>
        <w:tc>
          <w:tcPr>
            <w:tcW w:w="21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LATAM ex-Brasil</w:t>
            </w:r>
          </w:p>
        </w:tc>
        <w:tc>
          <w:tcPr>
            <w:tcW w:w="1150" w:type="dxa"/>
            <w:shd w:fill="9BDFF3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3</w:t>
            </w:r>
          </w:p>
        </w:tc>
        <w:tc>
          <w:tcPr>
            <w:tcW w:w="900" w:type="dxa"/>
            <w:shd w:fill="9BDFF3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3</w:t>
            </w:r>
          </w:p>
        </w:tc>
        <w:tc>
          <w:tcPr>
            <w:tcW w:w="1250" w:type="dxa"/>
            <w:shd w:fill="D9EF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2</w:t>
            </w:r>
          </w:p>
        </w:tc>
        <w:tc>
          <w:tcPr>
            <w:tcW w:w="1250" w:type="dxa"/>
            <w:shd w:fill="9BDFF3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3</w:t>
            </w:r>
          </w:p>
        </w:tc>
        <w:tc>
          <w:tcPr>
            <w:tcW w:w="1400" w:type="dxa"/>
            <w:shd w:fill="9BDFF3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3</w:t>
            </w:r>
          </w:p>
        </w:tc>
      </w:tr>
      <w:tr>
        <w:tc>
          <w:tcPr>
            <w:tcW w:w="21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Fronteira Rússia-Ucrânia</w:t>
            </w:r>
          </w:p>
        </w:tc>
        <w:tc>
          <w:tcPr>
            <w:tcW w:w="1150" w:type="dxa"/>
            <w:shd w:fill="45C7EC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4</w:t>
            </w:r>
          </w:p>
        </w:tc>
        <w:tc>
          <w:tcPr>
            <w:tcW w:w="900" w:type="dxa"/>
            <w:shd w:fill="45C7EC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4</w:t>
            </w:r>
          </w:p>
        </w:tc>
        <w:tc>
          <w:tcPr>
            <w:tcW w:w="1250" w:type="dxa"/>
            <w:shd w:fill="12222E"/>
          </w:tcPr>
          <w:p>
            <w:pPr>
              <w:spacing w:before="0" w:after="100"/>
            </w:pPr>
            <w:r>
              <w:rPr>
                <w:sz w:val="17"/>
                <w:szCs w:val="17"/>
                <w:color w:val="FFFFFF"/>
              </w:rPr>
              <w:t xml:space="preserve">5</w:t>
            </w:r>
          </w:p>
        </w:tc>
        <w:tc>
          <w:tcPr>
            <w:tcW w:w="1250" w:type="dxa"/>
            <w:shd w:fill="12222E"/>
          </w:tcPr>
          <w:p>
            <w:pPr>
              <w:spacing w:before="0" w:after="100"/>
            </w:pPr>
            <w:r>
              <w:rPr>
                <w:sz w:val="17"/>
                <w:szCs w:val="17"/>
                <w:color w:val="FFFFFF"/>
              </w:rPr>
              <w:t xml:space="preserve">5</w:t>
            </w:r>
          </w:p>
        </w:tc>
        <w:tc>
          <w:tcPr>
            <w:tcW w:w="1400" w:type="dxa"/>
            <w:shd w:fill="45C7EC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4</w:t>
            </w:r>
          </w:p>
        </w:tc>
      </w:tr>
    </w:tbl>
    <w:p>
      <w:pPr>
        <w:spacing w:before="0" w:after="110"/>
      </w:pPr>
      <w:r>
        <w:rPr>
          <w:sz w:val="19"/>
          <w:szCs w:val="19"/>
          <w:color w:val="10161D"/>
        </w:rPr>
        <w:t xml:space="preserve">A análise política utiliza cinco canais: estabilidade institucional, restrição fiscal, segurança externa, reversibilidade de política e transmissão para preços de mercado.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Nos Estados Unidos, o conflito relevante é entre ciclo eleitoral, política fiscal e credibilidade monetária. Na Europa, fragmentação partidária coincide com necessidade crescente de gasto em defesa e energia. Na China, capacidade estatal elevada encontra o limite da baixa disposição privada para tomar crédito. No Oriente Médio, infraestrutura crítica amplia a capacidade de coerção de atores relativamente menores. No Brasil, o ciclo eleitoral aumenta a reversibilidade percebida da política econômica.</w:t>
      </w:r>
    </w:p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4. Estados Unidos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O Fed entra na reunião de setembro sob pressão simultânea de inflação, petróleo e política. Um eventual movimento dovish não seria necessariamente recebido como positivo se o mercado interpretasse a decisão como perda de credibilidade. Nesse regime, a ponta longa pode subir mesmo com uma postura menos restritiva na taxa curta.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O Treasury de 10 anos próximo de 5% cria uma nova taxa de hurdle para equities. Empresas de tecnologia com fluxos de caixa distantes e projetos intensivos em financiamento tornam-se particularmente sensíveis.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A inteligência artificial passa a ser também um tema de política industrial, segurança nacional e crédito. O mercado começa a distinguir a tese estrutural de produtividade do ciclo financeiro de data centers, chips, networking e energia.</w:t>
      </w:r>
    </w:p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5. Europa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A Europa enfrenta simultaneamente energia mais cara, yields soberanos maiores, fragmentação política e necessidade de gasto estratégico. Alemanha, países nórdicos e fronteira oriental mostram diferentes versões do mesmo problema: governos precisam aumentar capacidade de defesa e infraestrutura enquanto o custo de financiamento sobe.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O risco político europeu não está apenas na vitória de um partido específico, mas no aumento do número de veto players e na dificuldade de executar reformas fiscais, energéticas e industriais.</w:t>
      </w:r>
    </w:p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6. China e Norte da Ásia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A fraqueza do crédito chinês sugere que o problema central não é oferta bancária, mas demanda privada. Bancos podem fornecer liquidez, porém famílias e empresas precisam querer consumir, investir e assumir risco.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O yuan relativamente forte melhora estabilidade externa, mas pressiona exportadores. Japão e Coreia, por sua vez, carregam elevada sensibilidade ao ciclo global de semicondutores e à normalização monetária japonesa.</w:t>
      </w:r>
    </w:p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7. Oriente Médio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A principal mudança estratégica é tratar Hormuz, Bab el-Mandeb, oleodutos e terminais como uma rede de vulnerabilidades, e não como um único chokepoint. Mesmo sem fechamento completo de uma rota, ataques pontuais elevam custos de seguro, combustível, tempo de viagem e proteção militar.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A transmissão macro ocorre em quatro etapas: petróleo e diesel; frete e seguro; expectativas de inflação e curva de juros; e, por fim, resposta fiscal de governos que tentam amortecer o choque.</w:t>
      </w:r>
    </w:p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8. América Latina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O beta regional vem principalmente de dólar, Treasury e commodities. México permanece sensível à integração comercial com os EUA; Argentina recebe alívio de uma safra de milho excepcional; países andinos dependem de termos de troca, carry e credibilidade doméstica.</w:t>
      </w:r>
    </w:p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9. Brasil / B3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O Brasil combina inflação doméstica mais favorável com ambiente externo adverso e eleição competitiva. O Ibovespa sofre com dólar forte e Treasury elevado, enquanto energia ajuda empresas ligadas a petróleo.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A eleição aumenta o beta político de bancos, varejo e curva longa. O subsídio ao diesel ilustra a troca entre inflação corrente e risco fiscal: amortecer preços administrados pode reduzir o IPCA no curto prazo, mas deslocar parte do custo para a dívida pública.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Setores de duration — utilities, construção, varejo e small caps — dependem não apenas da Selic curta, mas também de queda consistente do prêmio fiscal e da taxa global de desconto.</w:t>
      </w:r>
    </w:p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10. Forex global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O dólar é o ativo que melhor sintetiza o regime. A alta simultânea contra euro, libra, yen e real indica movimento global, e não apenas problemas idiossincráticos de uma região.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O yen é uma divergência importante: pode enfraquecer mesmo diante de expectativa de aperto do BoJ quando a demanda global por dólar domina. O real mantém carry elevado, mas esse carry protege menos quando volatilidade e correlação com risk-off sobem.</w:t>
      </w:r>
    </w:p>
    <w:p>
      <w:pPr>
        <w:spacing w:before="0" w:after="100"/>
      </w:pPr>
      <w:r>
        <w:rPr>
          <w:b/>
          <w:sz w:val="18"/>
          <w:szCs w:val="18"/>
          <w:color w:val="5C6670"/>
        </w:rPr>
        <w:t xml:space="preserve">Painel de câmbio</w:t>
      </w:r>
    </w:p>
    <w:tbl>
      <w:tblPr>
        <w:tblW w:w="0" w:type="auto"/>
        <w:tblBorders>
          <w:top w:val="single" w:sz="4" w:color="D8DDE2"/>
          <w:left w:val="single" w:sz="4" w:color="D8DDE2"/>
          <w:bottom w:val="single" w:sz="4" w:color="D8DDE2"/>
          <w:right w:val="single" w:sz="4" w:color="D8DDE2"/>
          <w:insideH w:val="single" w:sz="4" w:color="D8DDE2"/>
          <w:insideV w:val="single" w:sz="4" w:color="D8DDE2"/>
        </w:tblBorders>
      </w:tblPr>
      <w:tblGrid>
        <w:gridCol w:w="2600"/>
        <w:gridCol w:w="2600"/>
        <w:gridCol w:w="1800"/>
      </w:tblGrid>
      <w:tr>
        <w:tc>
          <w:tcPr>
            <w:tcW w:w="260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Par/índice</w:t>
            </w:r>
          </w:p>
        </w:tc>
        <w:tc>
          <w:tcPr>
            <w:tcW w:w="260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Nível aproximado</w:t>
            </w:r>
          </w:p>
        </w:tc>
        <w:tc>
          <w:tcPr>
            <w:tcW w:w="180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Variação %</w:t>
            </w:r>
          </w:p>
        </w:tc>
      </w:tr>
      <w:tr>
        <w:tc>
          <w:tcPr>
            <w:tcW w:w="26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DXY</w:t>
            </w:r>
          </w:p>
        </w:tc>
        <w:tc>
          <w:tcPr>
            <w:tcW w:w="26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99.648</w:t>
            </w:r>
          </w:p>
        </w:tc>
        <w:tc>
          <w:tcPr>
            <w:tcW w:w="1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0.6</w:t>
            </w:r>
          </w:p>
        </w:tc>
      </w:tr>
      <w:tr>
        <w:tc>
          <w:tcPr>
            <w:tcW w:w="26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EUR/USD</w:t>
            </w:r>
          </w:p>
        </w:tc>
        <w:tc>
          <w:tcPr>
            <w:tcW w:w="26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1.153</w:t>
            </w:r>
          </w:p>
        </w:tc>
        <w:tc>
          <w:tcPr>
            <w:tcW w:w="1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-0.5</w:t>
            </w:r>
          </w:p>
        </w:tc>
      </w:tr>
      <w:tr>
        <w:tc>
          <w:tcPr>
            <w:tcW w:w="26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GBP/USD</w:t>
            </w:r>
          </w:p>
        </w:tc>
        <w:tc>
          <w:tcPr>
            <w:tcW w:w="26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1.347</w:t>
            </w:r>
          </w:p>
        </w:tc>
        <w:tc>
          <w:tcPr>
            <w:tcW w:w="1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-0.5</w:t>
            </w:r>
          </w:p>
        </w:tc>
      </w:tr>
      <w:tr>
        <w:tc>
          <w:tcPr>
            <w:tcW w:w="26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USD/JPY</w:t>
            </w:r>
          </w:p>
        </w:tc>
        <w:tc>
          <w:tcPr>
            <w:tcW w:w="26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154.88</w:t>
            </w:r>
          </w:p>
        </w:tc>
        <w:tc>
          <w:tcPr>
            <w:tcW w:w="1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0.9</w:t>
            </w:r>
          </w:p>
        </w:tc>
      </w:tr>
      <w:tr>
        <w:tc>
          <w:tcPr>
            <w:tcW w:w="26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USD/BRL</w:t>
            </w:r>
          </w:p>
        </w:tc>
        <w:tc>
          <w:tcPr>
            <w:tcW w:w="26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5.152</w:t>
            </w:r>
          </w:p>
        </w:tc>
        <w:tc>
          <w:tcPr>
            <w:tcW w:w="1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0.57</w:t>
            </w:r>
          </w:p>
        </w:tc>
      </w:tr>
    </w:tbl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11. Bolsas globais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A deterioração do breadth é mais importante que o movimento do índice agregado. Semicondutores lideram perdas e mostram que existe um choque específico dentro do risk-off geral.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Defensivos como healthcare e staples tendem a superar tecnologia, mas utilities e REITs não têm proteção garantida quando yields longos também sobem. Europa sofre adicionalmente com custo de energia; Japão e Coreia concentram sensibilidade à cadeia física de IA.</w:t>
      </w:r>
    </w:p>
    <w:p>
      <w:pPr>
        <w:spacing w:before="0" w:after="100"/>
      </w:pPr>
      <w:r>
        <w:rPr>
          <w:b/>
          <w:sz w:val="18"/>
          <w:szCs w:val="18"/>
          <w:color w:val="5C6670"/>
        </w:rPr>
        <w:t xml:space="preserve">Cross-asset · variação do dia</w:t>
      </w:r>
    </w:p>
    <w:tbl>
      <w:tblPr>
        <w:tblW w:w="0" w:type="auto"/>
        <w:tblBorders>
          <w:top w:val="single" w:sz="4" w:color="D8DDE2"/>
          <w:left w:val="single" w:sz="4" w:color="D8DDE2"/>
          <w:bottom w:val="single" w:sz="4" w:color="D8DDE2"/>
          <w:right w:val="single" w:sz="4" w:color="D8DDE2"/>
          <w:insideH w:val="single" w:sz="4" w:color="D8DDE2"/>
          <w:insideV w:val="single" w:sz="4" w:color="D8DDE2"/>
        </w:tblBorders>
      </w:tblPr>
      <w:tblGrid>
        <w:gridCol w:w="2800"/>
        <w:gridCol w:w="1800"/>
        <w:gridCol w:w="3000"/>
      </w:tblGrid>
      <w:tr>
        <w:tc>
          <w:tcPr>
            <w:tcW w:w="280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Ativo</w:t>
            </w:r>
          </w:p>
        </w:tc>
        <w:tc>
          <w:tcPr>
            <w:tcW w:w="180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Variação</w:t>
            </w:r>
          </w:p>
        </w:tc>
        <w:tc>
          <w:tcPr>
            <w:tcW w:w="300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Amplitude</w:t>
            </w:r>
          </w:p>
        </w:tc>
      </w:tr>
      <w:tr>
        <w:tc>
          <w:tcPr>
            <w:tcW w:w="2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S&amp;P 500</w:t>
            </w:r>
          </w:p>
        </w:tc>
        <w:tc>
          <w:tcPr>
            <w:tcW w:w="1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-0.42%</w:t>
            </w:r>
          </w:p>
        </w:tc>
        <w:tc>
          <w:tcPr>
            <w:tcW w:w="30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■</w:t>
            </w:r>
          </w:p>
        </w:tc>
      </w:tr>
      <w:tr>
        <w:tc>
          <w:tcPr>
            <w:tcW w:w="2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Nasdaq</w:t>
            </w:r>
          </w:p>
        </w:tc>
        <w:tc>
          <w:tcPr>
            <w:tcW w:w="1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-0.44%</w:t>
            </w:r>
          </w:p>
        </w:tc>
        <w:tc>
          <w:tcPr>
            <w:tcW w:w="30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■</w:t>
            </w:r>
          </w:p>
        </w:tc>
      </w:tr>
      <w:tr>
        <w:tc>
          <w:tcPr>
            <w:tcW w:w="2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Dow</w:t>
            </w:r>
          </w:p>
        </w:tc>
        <w:tc>
          <w:tcPr>
            <w:tcW w:w="1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-0.23%</w:t>
            </w:r>
          </w:p>
        </w:tc>
        <w:tc>
          <w:tcPr>
            <w:tcW w:w="30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■</w:t>
            </w:r>
          </w:p>
        </w:tc>
      </w:tr>
      <w:tr>
        <w:tc>
          <w:tcPr>
            <w:tcW w:w="2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SOX</w:t>
            </w:r>
          </w:p>
        </w:tc>
        <w:tc>
          <w:tcPr>
            <w:tcW w:w="1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-5.00%</w:t>
            </w:r>
          </w:p>
        </w:tc>
        <w:tc>
          <w:tcPr>
            <w:tcW w:w="30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■■■■■■■■■■</w:t>
            </w:r>
          </w:p>
        </w:tc>
      </w:tr>
      <w:tr>
        <w:tc>
          <w:tcPr>
            <w:tcW w:w="2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STOXX 600</w:t>
            </w:r>
          </w:p>
        </w:tc>
        <w:tc>
          <w:tcPr>
            <w:tcW w:w="1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-0.50%</w:t>
            </w:r>
          </w:p>
        </w:tc>
        <w:tc>
          <w:tcPr>
            <w:tcW w:w="30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■</w:t>
            </w:r>
          </w:p>
        </w:tc>
      </w:tr>
      <w:tr>
        <w:tc>
          <w:tcPr>
            <w:tcW w:w="2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FTSE 100</w:t>
            </w:r>
          </w:p>
        </w:tc>
        <w:tc>
          <w:tcPr>
            <w:tcW w:w="1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+0.40%</w:t>
            </w:r>
          </w:p>
        </w:tc>
        <w:tc>
          <w:tcPr>
            <w:tcW w:w="30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■</w:t>
            </w:r>
          </w:p>
        </w:tc>
      </w:tr>
      <w:tr>
        <w:tc>
          <w:tcPr>
            <w:tcW w:w="2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Nikkei 225</w:t>
            </w:r>
          </w:p>
        </w:tc>
        <w:tc>
          <w:tcPr>
            <w:tcW w:w="1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-1.61%</w:t>
            </w:r>
          </w:p>
        </w:tc>
        <w:tc>
          <w:tcPr>
            <w:tcW w:w="30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■■■</w:t>
            </w:r>
          </w:p>
        </w:tc>
      </w:tr>
      <w:tr>
        <w:tc>
          <w:tcPr>
            <w:tcW w:w="2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KOSPI</w:t>
            </w:r>
          </w:p>
        </w:tc>
        <w:tc>
          <w:tcPr>
            <w:tcW w:w="1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-3.26%</w:t>
            </w:r>
          </w:p>
        </w:tc>
        <w:tc>
          <w:tcPr>
            <w:tcW w:w="30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■■■■■■■</w:t>
            </w:r>
          </w:p>
        </w:tc>
      </w:tr>
      <w:tr>
        <w:tc>
          <w:tcPr>
            <w:tcW w:w="2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Hang Seng</w:t>
            </w:r>
          </w:p>
        </w:tc>
        <w:tc>
          <w:tcPr>
            <w:tcW w:w="1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+0.40%</w:t>
            </w:r>
          </w:p>
        </w:tc>
        <w:tc>
          <w:tcPr>
            <w:tcW w:w="30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■</w:t>
            </w:r>
          </w:p>
        </w:tc>
      </w:tr>
      <w:tr>
        <w:tc>
          <w:tcPr>
            <w:tcW w:w="2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Shanghai</w:t>
            </w:r>
          </w:p>
        </w:tc>
        <w:tc>
          <w:tcPr>
            <w:tcW w:w="1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+0.20%</w:t>
            </w:r>
          </w:p>
        </w:tc>
        <w:tc>
          <w:tcPr>
            <w:tcW w:w="30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■</w:t>
            </w:r>
          </w:p>
        </w:tc>
      </w:tr>
      <w:tr>
        <w:tc>
          <w:tcPr>
            <w:tcW w:w="2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Ibovespa</w:t>
            </w:r>
          </w:p>
        </w:tc>
        <w:tc>
          <w:tcPr>
            <w:tcW w:w="1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-0.83%</w:t>
            </w:r>
          </w:p>
        </w:tc>
        <w:tc>
          <w:tcPr>
            <w:tcW w:w="30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■■</w:t>
            </w:r>
          </w:p>
        </w:tc>
      </w:tr>
      <w:tr>
        <w:tc>
          <w:tcPr>
            <w:tcW w:w="2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Brent</w:t>
            </w:r>
          </w:p>
        </w:tc>
        <w:tc>
          <w:tcPr>
            <w:tcW w:w="1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+4.00%</w:t>
            </w:r>
          </w:p>
        </w:tc>
        <w:tc>
          <w:tcPr>
            <w:tcW w:w="30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■■■■■■■■</w:t>
            </w:r>
          </w:p>
        </w:tc>
      </w:tr>
    </w:tbl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12. Renda fixa, crédito e liquidez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A curva americana está no centro do regime. Quando ações e Treasuries longos caem simultaneamente, o mercado está precificando inflação, term premium e oferta de dívida, não apenas desaceleração de crescimento.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Crédito ainda não mostra stress sistêmico. Enquanto spreads permanecerem relativamente ordenados, o evento é melhor descrito como repricing de taxa de desconto do que como crise financeira. A mudança de regime ocorreria se yields altos começassem a abrir high yield, pressionar funding e forçar desalavancagem.</w:t>
      </w:r>
    </w:p>
    <w:p>
      <w:pPr>
        <w:spacing w:before="0" w:after="100"/>
      </w:pPr>
      <w:r>
        <w:rPr>
          <w:b/>
          <w:sz w:val="18"/>
          <w:szCs w:val="18"/>
          <w:color w:val="5C6670"/>
        </w:rPr>
        <w:t xml:space="preserve">Juros nominais · níveis aproximados</w:t>
      </w:r>
    </w:p>
    <w:tbl>
      <w:tblPr>
        <w:tblW w:w="0" w:type="auto"/>
        <w:tblBorders>
          <w:top w:val="single" w:sz="4" w:color="D8DDE2"/>
          <w:left w:val="single" w:sz="4" w:color="D8DDE2"/>
          <w:bottom w:val="single" w:sz="4" w:color="D8DDE2"/>
          <w:right w:val="single" w:sz="4" w:color="D8DDE2"/>
          <w:insideH w:val="single" w:sz="4" w:color="D8DDE2"/>
          <w:insideV w:val="single" w:sz="4" w:color="D8DDE2"/>
        </w:tblBorders>
      </w:tblPr>
      <w:tblGrid>
        <w:gridCol w:w="2800"/>
        <w:gridCol w:w="1800"/>
        <w:gridCol w:w="3000"/>
      </w:tblGrid>
      <w:tr>
        <w:tc>
          <w:tcPr>
            <w:tcW w:w="280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Benchmark</w:t>
            </w:r>
          </w:p>
        </w:tc>
        <w:tc>
          <w:tcPr>
            <w:tcW w:w="180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Yield</w:t>
            </w:r>
          </w:p>
        </w:tc>
        <w:tc>
          <w:tcPr>
            <w:tcW w:w="3000" w:type="dxa"/>
            <w:shd w:fill="12222E"/>
          </w:tcPr>
          <w:p>
            <w:pPr>
              <w:spacing w:before="0" w:after="100"/>
            </w:pPr>
            <w:r>
              <w:rPr>
                <w:b/>
                <w:sz w:val="17"/>
                <w:szCs w:val="17"/>
                <w:color w:val="FFFFFF"/>
              </w:rPr>
              <w:t xml:space="preserve">Nível</w:t>
            </w:r>
          </w:p>
        </w:tc>
      </w:tr>
      <w:tr>
        <w:tc>
          <w:tcPr>
            <w:tcW w:w="2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UST 2Y</w:t>
            </w:r>
          </w:p>
        </w:tc>
        <w:tc>
          <w:tcPr>
            <w:tcW w:w="1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4.60%</w:t>
            </w:r>
          </w:p>
        </w:tc>
        <w:tc>
          <w:tcPr>
            <w:tcW w:w="30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■■■■■■■■■</w:t>
            </w:r>
          </w:p>
        </w:tc>
      </w:tr>
      <w:tr>
        <w:tc>
          <w:tcPr>
            <w:tcW w:w="2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UST 10Y</w:t>
            </w:r>
          </w:p>
        </w:tc>
        <w:tc>
          <w:tcPr>
            <w:tcW w:w="1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5.01%</w:t>
            </w:r>
          </w:p>
        </w:tc>
        <w:tc>
          <w:tcPr>
            <w:tcW w:w="30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■■■■■■■■■</w:t>
            </w:r>
          </w:p>
        </w:tc>
      </w:tr>
      <w:tr>
        <w:tc>
          <w:tcPr>
            <w:tcW w:w="2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UST 30Y</w:t>
            </w:r>
          </w:p>
        </w:tc>
        <w:tc>
          <w:tcPr>
            <w:tcW w:w="1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5.38%</w:t>
            </w:r>
          </w:p>
        </w:tc>
        <w:tc>
          <w:tcPr>
            <w:tcW w:w="30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■■■■■■■■■■</w:t>
            </w:r>
          </w:p>
        </w:tc>
      </w:tr>
      <w:tr>
        <w:tc>
          <w:tcPr>
            <w:tcW w:w="2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Bund 10Y</w:t>
            </w:r>
          </w:p>
        </w:tc>
        <w:tc>
          <w:tcPr>
            <w:tcW w:w="18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3.54%</w:t>
            </w:r>
          </w:p>
        </w:tc>
        <w:tc>
          <w:tcPr>
            <w:tcW w:w="3000" w:type="dxa"/>
            <w:shd w:fill="F3F5F7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■■■■■■■</w:t>
            </w:r>
          </w:p>
        </w:tc>
      </w:tr>
      <w:tr>
        <w:tc>
          <w:tcPr>
            <w:tcW w:w="2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Gilt 10Y</w:t>
            </w:r>
          </w:p>
        </w:tc>
        <w:tc>
          <w:tcPr>
            <w:tcW w:w="18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5.38%</w:t>
            </w:r>
          </w:p>
        </w:tc>
        <w:tc>
          <w:tcPr>
            <w:tcW w:w="3000" w:type="dxa"/>
            <w:shd w:fill="FFFFFF"/>
          </w:tcPr>
          <w:p>
            <w:pPr>
              <w:spacing w:before="0" w:after="100"/>
            </w:pPr>
            <w:r>
              <w:rPr>
                <w:sz w:val="17"/>
                <w:szCs w:val="17"/>
                <w:color w:val="10161D"/>
              </w:rPr>
              <w:t xml:space="preserve">■■■■■■■■■■</w:t>
            </w:r>
          </w:p>
        </w:tc>
      </w:tr>
    </w:tbl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13. Commodities, energia e metais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Petróleo é a commodity dominante porque altera a função de reação dos bancos centrais. Persistência importa mais que o nível pontual.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Ouro mais fraco apesar do risco geopolítico mostra que dólar e juros reais continuam dominando o canal de porto seguro. Uma combinação de ouro, dólar e yields subindo simultaneamente seria qualitativamente diferente, sugerindo hedge contra regime monetário e fiscal.</w:t>
      </w:r>
    </w:p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14. Agro e proteínas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Café combina estoques certificados historicamente apertados com possibilidade de recomposição de oferta via Brasil. No boi gordo, o vetor principal continua sendo exportação e acesso a mercados. Soja, milho, trigo e açúcar devem ser lidos em conjunto com energia, logística e câmbio.</w:t>
      </w:r>
    </w:p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15. Criptoativos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Bitcoin mostra resiliência relativa frente à tecnologia, apesar de dólar e yields mais altos. No curto prazo isso pode refletir fluxo específico; no médio prazo, investidores também testam a narrativa de hedge contra risco fiscal e monetário.</w:t>
      </w:r>
    </w:p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16. Mapa cross-asset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**Petróleo ↑ + Treasury ↑ + dólar ↑:** inflação e term premium dominam.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**Treasury 10Y &gt; 5% + tecnologia ↓:** taxa livre de risco compete com equity duration.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**Ouro ↓ apesar de geopolítica ↑:** dólar e juros reais ainda dominam porto seguro.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**JPY ↓ apesar de BoJ hawkish:** força global do USD supera a normalização japonesa.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**BRL ↓ apesar de carry alto:** volatilidade global e política reduzem a proteção do diferencial de juros.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**BTC resiliente + Nasdaq fraco:** possível fluxo idiossincrático, ainda insuficiente para afirmar descorrelação estrutural.</w:t>
      </w:r>
    </w:p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17. Cenários</w:t>
      </w:r>
    </w:p>
    <w:p>
      <w:pPr>
        <w:pStyle w:val="Heading2"/>
        <w:spacing w:before="120" w:after="60"/>
      </w:pPr>
      <w:r>
        <w:rPr>
          <w:b/>
          <w:sz w:val="22"/>
          <w:szCs w:val="22"/>
          <w:color w:val="12222E"/>
        </w:rPr>
        <w:t xml:space="preserve">Base — aperto controlado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Fed entrega aperto já amplamente precificado, petróleo estabiliza e crédito permanece ordenado. Dólar continua firme, yields deixam de acelerar e equities tornam-se mais seletivas.</w:t>
      </w:r>
    </w:p>
    <w:p>
      <w:pPr>
        <w:pStyle w:val="Heading2"/>
        <w:spacing w:before="120" w:after="60"/>
      </w:pPr>
      <w:r>
        <w:rPr>
          <w:b/>
          <w:sz w:val="22"/>
          <w:szCs w:val="22"/>
          <w:color w:val="12222E"/>
        </w:rPr>
        <w:t xml:space="preserve">Descompressão pró-risco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Melhora verificável nas rotas energéticas, Brent abaixo de US$100 e preservação do guidance de capex em IA. Semicondutores, Nasdaq e moedas emergentes reagiriam primeiro.</w:t>
      </w:r>
    </w:p>
    <w:p>
      <w:pPr>
        <w:pStyle w:val="Heading2"/>
        <w:spacing w:before="120" w:after="60"/>
      </w:pPr>
      <w:r>
        <w:rPr>
          <w:b/>
          <w:sz w:val="22"/>
          <w:szCs w:val="22"/>
          <w:color w:val="12222E"/>
        </w:rPr>
        <w:t xml:space="preserve">Estagflação persistente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Brent acima de US$120, frete pior, Treasury acima de 5,25% e bancos centrais mais hawkish. Bonds longos, growth e crédito sofreriam simultaneamente.</w:t>
      </w:r>
    </w:p>
    <w:p>
      <w:pPr>
        <w:pStyle w:val="Heading2"/>
        <w:spacing w:before="120" w:after="60"/>
      </w:pPr>
      <w:r>
        <w:rPr>
          <w:b/>
          <w:sz w:val="22"/>
          <w:szCs w:val="22"/>
          <w:color w:val="12222E"/>
        </w:rPr>
        <w:t xml:space="preserve">Cauda — stress financeiro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Abertura rápida de spreads, pressão de funding em dólar e perdas em crédito privado ou financiamento de infraestrutura de IA transformariam repricing em instabilidade financeira.</w:t>
      </w:r>
    </w:p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18. Catalisadores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Evolução das rotas energéticas e infraestrutura saudita.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FOMC de setembro.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Copom e sinalização da trajetória da Selic.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Bank of England.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Bank of Japan.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Novas pesquisas eleitorais no Brasil.</w:t>
      </w:r>
    </w:p>
    <w:p>
      <w:pPr>
        <w:spacing w:before="0" w:after="55"/>
      </w:pPr>
      <w:r>
        <w:rPr>
          <w:sz w:val="19"/>
          <w:szCs w:val="19"/>
          <w:color w:val="10161D"/>
        </w:rPr>
        <w:t xml:space="preserve">• Guidance corporativo ligado a IA e semicondutores.</w:t>
      </w:r>
    </w:p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19. Conclusão executiva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A principal tese é que o mercado precifica simultaneamente inflação de oferta, maior term premium fiscal e revisão da liderança de IA. Cada choque isolado é administrável; o risco está na correlação entre eles.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O dado que contradiz parcialmente a tese mais negativa é a ausência, por enquanto, de stress sistêmico em crédito. Isso sugere repricing, e não desalavancagem desordenada.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As três variáveis com maior conteúdo informacional até a próxima edição são a duração da disrupção energética, o comportamento do Treasury de 10 anos ao redor de 5% e a capacidade do dólar de continuar subindo após uma decisão do Fed já amplamente precificada.</w:t>
      </w:r>
    </w:p>
    <w:p>
      <w:pPr>
        <w:pStyle w:val="Heading1"/>
        <w:spacing w:before="220" w:after="120"/>
      </w:pPr>
      <w:r>
        <w:rPr>
          <w:sz w:val="28"/>
          <w:szCs w:val="28"/>
          <w:color w:val="10161D"/>
        </w:rPr>
        <w:t xml:space="preserve">20. Fontes e metodologia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A edição priorizou Reuters, dados oficiais, bancos centrais, bolsas, Presidência da República, Cepea/Cecafé e outras fontes primárias ou de primeira linha. Dados intradiários representam snapshots e não devem ser confundidos com fechamentos sincronizados.</w:t>
      </w:r>
    </w:p>
    <w:p>
      <w:pPr>
        <w:spacing w:before="0" w:after="110"/>
      </w:pPr>
      <w:r>
        <w:rPr>
          <w:sz w:val="19"/>
          <w:szCs w:val="19"/>
          <w:color w:val="10161D"/>
        </w:rPr>
        <w:t xml:space="preserve">Conteúdo analítico original da LOGV é disponibilizado sob CC BY 4.0, salvo indicação em contrário. Dados, citações e materiais de terceiros permanecem sujeitos aos direitos e termos de suas respectivas fontes.</w:t>
      </w:r>
    </w:p>
    <w:sectPr>
      <w:pgSz w:w="11906" w:h="16838"/>
      <w:pgMar w:top="900" w:right="900" w:bottom="900" w:left="900" w:header="500" w:footer="500" w:gutter="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Arial" w:hAnsi="Arial"/>
      <w:sz w:val="19"/>
      <w:color w:val="10161D"/>
    </w:rPr>
  </w:style>
  <w:style w:type="paragraph" w:styleId="Title">
    <w:name w:val="Title"/>
    <w:rPr>
      <w:rFonts w:ascii="Georgia" w:hAnsi="Georgia"/>
      <w:sz w:val="38"/>
      <w:color w:val="10161D"/>
    </w:rPr>
  </w:style>
  <w:style w:type="paragraph" w:styleId="Heading1">
    <w:name w:val="heading 1"/>
    <w:rPr>
      <w:rFonts w:ascii="Georgia" w:hAnsi="Georgia"/>
      <w:b/>
      <w:sz w:val="28"/>
    </w:rPr>
  </w:style>
  <w:style w:type="paragraph" w:styleId="Heading2">
    <w:name w:val="heading 2"/>
    <w:rPr>
      <w:rFonts w:ascii="Arial" w:hAnsi="Arial"/>
      <w:b/>
      <w:sz w:val="22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